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19" w:rsidRPr="00520286" w:rsidRDefault="00417719"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417719" w:rsidRPr="007D0DD6" w:rsidRDefault="00417719"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417719" w:rsidRPr="007D0DD6" w:rsidRDefault="00417719" w:rsidP="007D0DD6">
      <w:pPr>
        <w:jc w:val="center"/>
        <w:rPr>
          <w:rFonts w:asciiTheme="majorHAnsi" w:hAnsiTheme="majorHAnsi" w:cs="Arial"/>
          <w:b/>
          <w:sz w:val="28"/>
          <w:szCs w:val="28"/>
        </w:rPr>
      </w:pPr>
      <w:r w:rsidRPr="005E21D5">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417719" w:rsidRPr="007D0DD6" w:rsidRDefault="00417719"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5E21D5">
        <w:rPr>
          <w:rFonts w:asciiTheme="majorHAnsi" w:hAnsiTheme="majorHAnsi" w:cs="Arial"/>
          <w:b/>
          <w:noProof/>
          <w:sz w:val="28"/>
          <w:szCs w:val="28"/>
        </w:rPr>
        <w:t>18-CI-01247</w:t>
      </w:r>
    </w:p>
    <w:p w:rsidR="00417719" w:rsidRPr="001C77AC" w:rsidRDefault="00417719" w:rsidP="004D7F8B">
      <w:pPr>
        <w:rPr>
          <w:rFonts w:asciiTheme="majorHAnsi" w:hAnsiTheme="majorHAnsi" w:cs="Arial"/>
          <w:b/>
        </w:rPr>
      </w:pPr>
    </w:p>
    <w:p w:rsidR="00417719" w:rsidRDefault="00417719" w:rsidP="006F1169">
      <w:pPr>
        <w:tabs>
          <w:tab w:val="right" w:pos="11340"/>
        </w:tabs>
        <w:rPr>
          <w:rFonts w:asciiTheme="majorHAnsi" w:hAnsiTheme="majorHAnsi" w:cs="Arial"/>
          <w:b/>
          <w:bCs/>
          <w:sz w:val="28"/>
          <w:szCs w:val="28"/>
        </w:rPr>
      </w:pPr>
      <w:r w:rsidRPr="005E21D5">
        <w:rPr>
          <w:rFonts w:asciiTheme="majorHAnsi" w:hAnsiTheme="majorHAnsi" w:cs="Arial"/>
          <w:b/>
          <w:noProof/>
          <w:sz w:val="28"/>
          <w:szCs w:val="28"/>
        </w:rPr>
        <w:t>Harmony Alliance, LLC</w:t>
      </w:r>
      <w:r w:rsidRPr="001C77AC">
        <w:rPr>
          <w:rFonts w:asciiTheme="majorHAnsi" w:hAnsiTheme="majorHAnsi" w:cs="Arial"/>
          <w:b/>
          <w:bCs/>
          <w:sz w:val="28"/>
          <w:szCs w:val="28"/>
        </w:rPr>
        <w:tab/>
        <w:t>PLAINTIFF</w:t>
      </w:r>
    </w:p>
    <w:p w:rsidR="00417719" w:rsidRPr="001C77AC" w:rsidRDefault="00417719" w:rsidP="006F1169">
      <w:pPr>
        <w:tabs>
          <w:tab w:val="right" w:pos="11340"/>
        </w:tabs>
        <w:rPr>
          <w:rFonts w:asciiTheme="majorHAnsi" w:hAnsiTheme="majorHAnsi" w:cs="Arial"/>
          <w:b/>
          <w:bCs/>
          <w:sz w:val="28"/>
          <w:szCs w:val="28"/>
        </w:rPr>
      </w:pPr>
    </w:p>
    <w:p w:rsidR="00417719" w:rsidRDefault="00417719"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417719" w:rsidRPr="001C77AC" w:rsidRDefault="00417719" w:rsidP="000269FC">
      <w:pPr>
        <w:rPr>
          <w:rFonts w:asciiTheme="majorHAnsi" w:hAnsiTheme="majorHAnsi" w:cs="Arial"/>
          <w:sz w:val="24"/>
          <w:szCs w:val="24"/>
        </w:rPr>
      </w:pPr>
    </w:p>
    <w:p w:rsidR="00417719" w:rsidRPr="001C77AC" w:rsidRDefault="00417719" w:rsidP="0029673C">
      <w:pPr>
        <w:tabs>
          <w:tab w:val="right" w:pos="11340"/>
        </w:tabs>
        <w:rPr>
          <w:rFonts w:asciiTheme="majorHAnsi" w:hAnsiTheme="majorHAnsi" w:cs="Arial"/>
          <w:b/>
          <w:sz w:val="28"/>
          <w:szCs w:val="28"/>
        </w:rPr>
      </w:pPr>
      <w:bookmarkStart w:id="0" w:name="_GoBack"/>
      <w:r w:rsidRPr="005E21D5">
        <w:rPr>
          <w:rFonts w:asciiTheme="majorHAnsi" w:hAnsiTheme="majorHAnsi" w:cs="Arial"/>
          <w:b/>
          <w:noProof/>
          <w:sz w:val="28"/>
          <w:szCs w:val="28"/>
        </w:rPr>
        <w:t>Avery L. Morgan</w:t>
      </w:r>
      <w:bookmarkEnd w:id="0"/>
      <w:r w:rsidRPr="005E21D5">
        <w:rPr>
          <w:rFonts w:asciiTheme="majorHAnsi" w:hAnsiTheme="majorHAnsi" w:cs="Arial"/>
          <w:b/>
          <w:noProof/>
          <w:sz w:val="28"/>
          <w:szCs w:val="28"/>
        </w:rPr>
        <w:t>, et al.</w:t>
      </w:r>
      <w:r w:rsidRPr="001C77AC">
        <w:rPr>
          <w:rFonts w:asciiTheme="majorHAnsi" w:hAnsiTheme="majorHAnsi" w:cs="Arial"/>
          <w:b/>
          <w:sz w:val="28"/>
          <w:szCs w:val="28"/>
        </w:rPr>
        <w:tab/>
        <w:t>DEFENDANTS</w:t>
      </w:r>
    </w:p>
    <w:p w:rsidR="00417719" w:rsidRPr="001C77AC" w:rsidRDefault="00417719" w:rsidP="007E1664">
      <w:pPr>
        <w:rPr>
          <w:rFonts w:asciiTheme="majorHAnsi" w:hAnsiTheme="majorHAnsi" w:cs="Arial"/>
          <w:b/>
          <w:sz w:val="28"/>
          <w:szCs w:val="28"/>
        </w:rPr>
      </w:pPr>
    </w:p>
    <w:p w:rsidR="00417719" w:rsidRPr="001C77AC" w:rsidRDefault="00417719"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February 12, 2021</w:t>
      </w:r>
      <w:r w:rsidRPr="001C77AC">
        <w:rPr>
          <w:rFonts w:asciiTheme="majorHAnsi" w:hAnsiTheme="majorHAnsi" w:cs="Arial"/>
          <w:bCs/>
          <w:sz w:val="22"/>
        </w:rPr>
        <w:t xml:space="preserve">, of the Kenton Circuit Court, in the above cause I shall proceed to offer for sale                                        </w:t>
      </w:r>
    </w:p>
    <w:p w:rsidR="00417719" w:rsidRPr="001C77AC" w:rsidRDefault="00417719">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417719" w:rsidRDefault="00417719"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417719" w:rsidRPr="0047382B" w:rsidRDefault="00417719" w:rsidP="0047382B">
      <w:pPr>
        <w:jc w:val="center"/>
        <w:rPr>
          <w:rFonts w:asciiTheme="majorHAnsi" w:hAnsiTheme="majorHAnsi" w:cs="Arial"/>
          <w:b/>
        </w:rPr>
      </w:pPr>
    </w:p>
    <w:p w:rsidR="00417719" w:rsidRPr="0047382B" w:rsidRDefault="00417719"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417719" w:rsidRPr="001C77AC" w:rsidRDefault="00417719" w:rsidP="00620623">
      <w:pPr>
        <w:rPr>
          <w:rFonts w:asciiTheme="majorHAnsi" w:hAnsiTheme="majorHAnsi" w:cs="Arial"/>
        </w:rPr>
      </w:pPr>
    </w:p>
    <w:p w:rsidR="00417719" w:rsidRPr="001C77AC" w:rsidRDefault="00417719"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5E21D5">
        <w:rPr>
          <w:rFonts w:asciiTheme="majorHAnsi" w:hAnsiTheme="majorHAnsi" w:cs="Arial"/>
          <w:b/>
          <w:noProof/>
          <w:sz w:val="22"/>
          <w:szCs w:val="22"/>
        </w:rPr>
        <w:t>20th</w:t>
      </w:r>
      <w:r w:rsidRPr="001C77AC">
        <w:rPr>
          <w:rFonts w:asciiTheme="majorHAnsi" w:hAnsiTheme="majorHAnsi" w:cs="Arial"/>
          <w:b/>
          <w:sz w:val="22"/>
          <w:szCs w:val="22"/>
        </w:rPr>
        <w:t xml:space="preserve"> day of </w:t>
      </w:r>
      <w:r w:rsidRPr="005E21D5">
        <w:rPr>
          <w:rFonts w:asciiTheme="majorHAnsi" w:hAnsiTheme="majorHAnsi" w:cs="Arial"/>
          <w:b/>
          <w:noProof/>
          <w:sz w:val="22"/>
          <w:szCs w:val="22"/>
        </w:rPr>
        <w:t>April</w:t>
      </w:r>
      <w:r w:rsidRPr="001C77AC">
        <w:rPr>
          <w:rFonts w:asciiTheme="majorHAnsi" w:hAnsiTheme="majorHAnsi" w:cs="Arial"/>
          <w:b/>
          <w:sz w:val="22"/>
          <w:szCs w:val="22"/>
        </w:rPr>
        <w:t>, 20</w:t>
      </w:r>
      <w:r>
        <w:rPr>
          <w:rFonts w:asciiTheme="majorHAnsi" w:hAnsiTheme="majorHAnsi" w:cs="Arial"/>
          <w:b/>
          <w:sz w:val="22"/>
          <w:szCs w:val="22"/>
        </w:rPr>
        <w:t>21</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417719" w:rsidRPr="001C77AC" w:rsidRDefault="00417719">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417719" w:rsidRPr="001C77AC" w:rsidRDefault="00417719" w:rsidP="00E3229E">
      <w:pPr>
        <w:jc w:val="center"/>
        <w:rPr>
          <w:rFonts w:asciiTheme="majorHAnsi" w:hAnsiTheme="majorHAnsi" w:cs="Arial"/>
          <w:b/>
          <w:sz w:val="22"/>
          <w:szCs w:val="22"/>
        </w:rPr>
      </w:pPr>
      <w:r w:rsidRPr="005E21D5">
        <w:rPr>
          <w:rFonts w:asciiTheme="majorHAnsi" w:hAnsiTheme="majorHAnsi" w:cs="Arial"/>
          <w:b/>
          <w:noProof/>
          <w:sz w:val="24"/>
          <w:szCs w:val="24"/>
        </w:rPr>
        <w:t>427 Baltimore Ave., Covington, KY 41015</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5E21D5">
        <w:rPr>
          <w:rFonts w:asciiTheme="majorHAnsi" w:hAnsiTheme="majorHAnsi" w:cs="Arial"/>
          <w:b/>
          <w:noProof/>
          <w:sz w:val="22"/>
          <w:szCs w:val="22"/>
        </w:rPr>
        <w:t>843/844</w:t>
      </w:r>
      <w:r w:rsidRPr="001C77AC">
        <w:rPr>
          <w:rFonts w:asciiTheme="majorHAnsi" w:hAnsiTheme="majorHAnsi" w:cs="Arial"/>
          <w:b/>
          <w:sz w:val="22"/>
          <w:szCs w:val="22"/>
        </w:rPr>
        <w:t xml:space="preserve">    PIDN:  </w:t>
      </w:r>
      <w:r w:rsidRPr="005E21D5">
        <w:rPr>
          <w:rFonts w:asciiTheme="majorHAnsi" w:hAnsiTheme="majorHAnsi" w:cs="Arial"/>
          <w:b/>
          <w:noProof/>
          <w:sz w:val="22"/>
          <w:szCs w:val="22"/>
        </w:rPr>
        <w:t>056-43-09-004.00</w:t>
      </w:r>
    </w:p>
    <w:p w:rsidR="00417719" w:rsidRPr="001C77AC" w:rsidRDefault="00417719" w:rsidP="00620623">
      <w:pPr>
        <w:rPr>
          <w:rFonts w:asciiTheme="majorHAnsi" w:hAnsiTheme="majorHAnsi" w:cs="Arial"/>
          <w:b/>
          <w:sz w:val="24"/>
          <w:szCs w:val="24"/>
        </w:rPr>
      </w:pPr>
    </w:p>
    <w:p w:rsidR="00417719" w:rsidRDefault="00417719"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5E21D5">
        <w:rPr>
          <w:rFonts w:ascii="Cambria" w:hAnsi="Cambria" w:cs="Arial"/>
          <w:noProof/>
          <w:sz w:val="22"/>
          <w:szCs w:val="22"/>
        </w:rPr>
        <w:t>18-CI-01247</w:t>
      </w:r>
      <w:r>
        <w:rPr>
          <w:rFonts w:ascii="Cambria" w:hAnsi="Cambria" w:cs="Arial"/>
          <w:sz w:val="22"/>
          <w:szCs w:val="22"/>
        </w:rPr>
        <w:t>, filed in the Kenton Circuit Clerk’s Office, Covington, Kentucky.</w:t>
      </w:r>
    </w:p>
    <w:p w:rsidR="00417719" w:rsidRPr="001C77AC" w:rsidRDefault="00417719" w:rsidP="00E138DF">
      <w:pPr>
        <w:pStyle w:val="BodyText2"/>
        <w:rPr>
          <w:rFonts w:asciiTheme="majorHAnsi" w:hAnsiTheme="majorHAnsi" w:cs="Arial"/>
          <w:b w:val="0"/>
          <w:sz w:val="20"/>
        </w:rPr>
      </w:pPr>
    </w:p>
    <w:p w:rsidR="00417719" w:rsidRPr="001C77AC" w:rsidRDefault="00417719"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8,887.80</w:t>
      </w:r>
      <w:r w:rsidRPr="001C77AC">
        <w:rPr>
          <w:rFonts w:asciiTheme="majorHAnsi" w:hAnsiTheme="majorHAnsi" w:cs="Arial"/>
          <w:sz w:val="20"/>
        </w:rPr>
        <w:t>; AND OTHER LIENS, INTEREST, ATTORNEY FEES AND/OR OTHER SUMS AND JUDGMENTS THAT MAY BE AWARDED BY THE COURT.</w:t>
      </w:r>
    </w:p>
    <w:p w:rsidR="00417719" w:rsidRPr="001C77AC" w:rsidRDefault="00417719" w:rsidP="00D843BE">
      <w:pPr>
        <w:pStyle w:val="BodyText2"/>
        <w:rPr>
          <w:rFonts w:asciiTheme="majorHAnsi" w:hAnsiTheme="majorHAnsi" w:cs="Arial"/>
          <w:sz w:val="20"/>
        </w:rPr>
      </w:pPr>
      <w:r w:rsidRPr="001C77AC">
        <w:rPr>
          <w:rFonts w:asciiTheme="majorHAnsi" w:hAnsiTheme="majorHAnsi" w:cs="Arial"/>
          <w:sz w:val="20"/>
        </w:rPr>
        <w:t xml:space="preserve"> </w:t>
      </w:r>
    </w:p>
    <w:p w:rsidR="00417719" w:rsidRPr="001C77AC" w:rsidRDefault="00417719"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PLAINTIFF. IF THE PURCHASER IS THE PLAINTIFF,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417719" w:rsidRPr="001C77AC" w:rsidRDefault="00417719">
      <w:pPr>
        <w:pStyle w:val="BodyText2"/>
        <w:tabs>
          <w:tab w:val="left" w:pos="9180"/>
        </w:tabs>
        <w:rPr>
          <w:rFonts w:asciiTheme="majorHAnsi" w:hAnsiTheme="majorHAnsi" w:cs="Arial"/>
          <w:sz w:val="18"/>
        </w:rPr>
      </w:pPr>
    </w:p>
    <w:p w:rsidR="00417719" w:rsidRPr="001C77AC" w:rsidRDefault="00417719">
      <w:pPr>
        <w:pStyle w:val="BodyText2"/>
        <w:rPr>
          <w:rFonts w:asciiTheme="majorHAnsi" w:hAnsiTheme="majorHAnsi" w:cs="Arial"/>
          <w:b w:val="0"/>
          <w:sz w:val="18"/>
          <w:szCs w:val="18"/>
        </w:rPr>
      </w:pPr>
      <w:r w:rsidRPr="001C77AC">
        <w:rPr>
          <w:rFonts w:asciiTheme="majorHAnsi" w:hAnsiTheme="majorHAnsi" w:cs="Arial"/>
          <w:b w:val="0"/>
          <w:sz w:val="18"/>
          <w:szCs w:val="18"/>
        </w:rPr>
        <w:t>THE SALE SHALL BE MADE TO THE HIGHEST AND BEST BIDDER (S).  ANY PURCHASER, OTHER THAN PLAINTIFF,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417719" w:rsidRPr="001C77AC" w:rsidRDefault="00417719">
      <w:pPr>
        <w:pStyle w:val="BodyText2"/>
        <w:rPr>
          <w:rFonts w:asciiTheme="majorHAnsi" w:hAnsiTheme="majorHAnsi" w:cs="Arial"/>
          <w:b w:val="0"/>
          <w:sz w:val="16"/>
          <w:szCs w:val="16"/>
        </w:rPr>
      </w:pPr>
    </w:p>
    <w:p w:rsidR="00417719" w:rsidRDefault="00417719" w:rsidP="00B41DB9">
      <w:pPr>
        <w:pStyle w:val="Heading7"/>
        <w:jc w:val="center"/>
        <w:rPr>
          <w:rFonts w:asciiTheme="majorHAnsi" w:hAnsiTheme="majorHAnsi" w:cs="Arial"/>
          <w:szCs w:val="22"/>
        </w:rPr>
        <w:sectPr w:rsidR="00417719" w:rsidSect="00417719">
          <w:pgSz w:w="12240" w:h="15840"/>
          <w:pgMar w:top="432" w:right="432" w:bottom="432" w:left="432" w:header="720" w:footer="720" w:gutter="0"/>
          <w:pgNumType w:start="1"/>
          <w:cols w:space="720"/>
        </w:sectPr>
      </w:pPr>
      <w:r w:rsidRPr="001C77AC">
        <w:rPr>
          <w:rFonts w:asciiTheme="majorHAnsi" w:hAnsiTheme="majorHAnsi" w:cs="Arial"/>
          <w:szCs w:val="22"/>
        </w:rPr>
        <w:t>William A. Humpert, Leonard G. Rowekamp, John R. Kummer, Master Commissioners</w:t>
      </w:r>
    </w:p>
    <w:p w:rsidR="00417719" w:rsidRPr="001C77AC" w:rsidRDefault="00417719" w:rsidP="00B41DB9">
      <w:pPr>
        <w:pStyle w:val="Heading7"/>
        <w:jc w:val="center"/>
        <w:rPr>
          <w:rFonts w:asciiTheme="majorHAnsi" w:hAnsiTheme="majorHAnsi" w:cs="Arial"/>
          <w:szCs w:val="22"/>
        </w:rPr>
      </w:pPr>
    </w:p>
    <w:sectPr w:rsidR="00417719" w:rsidRPr="001C77AC" w:rsidSect="00417719">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50FD"/>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17719"/>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2008-01-10T20:54:00Z</cp:lastPrinted>
  <dcterms:created xsi:type="dcterms:W3CDTF">2021-03-04T19:55:00Z</dcterms:created>
  <dcterms:modified xsi:type="dcterms:W3CDTF">2021-03-04T19:59:00Z</dcterms:modified>
</cp:coreProperties>
</file>